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6D" w:rsidRDefault="00C61CD8">
      <w:pPr>
        <w:pStyle w:val="Heading1"/>
        <w:spacing w:before="0" w:after="7"/>
        <w:ind w:left="0"/>
        <w:jc w:val="center"/>
      </w:pPr>
      <w:bookmarkStart w:id="0" w:name="_bookmark90"/>
      <w:bookmarkEnd w:id="0"/>
      <w:r>
        <w:rPr>
          <w:sz w:val="24"/>
        </w:rPr>
        <w:t xml:space="preserve">   </w:t>
      </w:r>
      <w:r>
        <w:t>Приложение 1. Таблица опций</w:t>
      </w:r>
    </w:p>
    <w:tbl>
      <w:tblPr>
        <w:tblW w:w="10553" w:type="dxa"/>
        <w:jc w:val="center"/>
        <w:tblInd w:w="2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890"/>
        <w:gridCol w:w="1486"/>
        <w:gridCol w:w="1419"/>
        <w:gridCol w:w="6758"/>
      </w:tblGrid>
      <w:tr w:rsidR="008F7E6D" w:rsidTr="007009F9">
        <w:trPr>
          <w:trHeight w:val="551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76" w:lineRule="exact"/>
              <w:ind w:left="107" w:right="80" w:firstLine="216"/>
              <w:jc w:val="center"/>
              <w:rPr>
                <w:b/>
              </w:rPr>
            </w:pPr>
            <w:r>
              <w:rPr>
                <w:b/>
              </w:rPr>
              <w:t>№ опции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76" w:lineRule="exact"/>
              <w:ind w:left="150" w:right="16" w:hanging="39"/>
              <w:jc w:val="center"/>
              <w:rPr>
                <w:b/>
              </w:rPr>
            </w:pPr>
            <w:r>
              <w:rPr>
                <w:b/>
              </w:rPr>
              <w:t>Значение по умолчанию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76" w:lineRule="exact"/>
              <w:ind w:left="196" w:right="9" w:hanging="180"/>
              <w:jc w:val="center"/>
              <w:rPr>
                <w:b/>
              </w:rPr>
            </w:pPr>
            <w:r>
              <w:rPr>
                <w:b/>
              </w:rPr>
              <w:t>Допустимые значения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33"/>
              <w:ind w:left="2822" w:right="2812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6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6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Режим работы ККТ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Обычный режим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Билетный режим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Режим работы в системе ЕГАИС</w:t>
            </w:r>
          </w:p>
        </w:tc>
      </w:tr>
      <w:tr w:rsidR="008F7E6D" w:rsidTr="007009F9">
        <w:trPr>
          <w:trHeight w:val="366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37"/>
              <w:ind w:right="374"/>
              <w:jc w:val="center"/>
            </w:pPr>
            <w:r>
              <w:t xml:space="preserve">      5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37"/>
              <w:ind w:left="541" w:right="535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37"/>
              <w:ind w:left="288" w:right="280"/>
              <w:jc w:val="center"/>
            </w:pPr>
            <w:r>
              <w:t>1-16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7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Количество кассиров в системе</w:t>
            </w:r>
          </w:p>
        </w:tc>
      </w:tr>
      <w:tr w:rsidR="008F7E6D" w:rsidTr="007009F9">
        <w:trPr>
          <w:trHeight w:val="330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8"/>
              <w:ind w:right="374"/>
              <w:jc w:val="center"/>
            </w:pPr>
            <w:r>
              <w:t xml:space="preserve">      6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8"/>
              <w:ind w:left="541" w:right="535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8"/>
              <w:ind w:left="288" w:right="280"/>
              <w:jc w:val="center"/>
            </w:pPr>
            <w:r>
              <w:t>1-16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Количество отделов в системе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7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7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Отдел по умолчанию</w:t>
            </w:r>
          </w:p>
        </w:tc>
      </w:tr>
      <w:tr w:rsidR="008F7E6D" w:rsidRPr="007009F9" w:rsidTr="007009F9">
        <w:trPr>
          <w:trHeight w:val="1243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C61CD8">
            <w:pPr>
              <w:pStyle w:val="TableParagraph"/>
              <w:spacing w:before="175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16" w:lineRule="auto"/>
              <w:ind w:left="107" w:right="96"/>
              <w:jc w:val="center"/>
            </w:pPr>
            <w:r>
              <w:t>Отдел по умолчанию не определен. После ввода цены необходимо нажать клавишу «</w:t>
            </w:r>
            <w:r>
              <w:rPr>
                <w:b/>
              </w:rPr>
              <w:t>ПИ</w:t>
            </w:r>
            <w:r>
              <w:t>», указать номер отдела и нажать клавишу «</w:t>
            </w:r>
            <w:r>
              <w:rPr>
                <w:b/>
              </w:rPr>
              <w:t>ПИ</w:t>
            </w:r>
            <w:r>
              <w:t>».</w:t>
            </w:r>
          </w:p>
          <w:p w:rsidR="008F7E6D" w:rsidRDefault="00C61CD8">
            <w:pPr>
              <w:pStyle w:val="TableParagraph"/>
              <w:spacing w:line="248" w:lineRule="exact"/>
              <w:ind w:left="107" w:right="100"/>
              <w:jc w:val="center"/>
            </w:pPr>
            <w:r>
              <w:t xml:space="preserve">При вводе кода товара из базы, для которого не определен </w:t>
            </w:r>
            <w:r>
              <w:t>отдел, его номер вводится вручную после запроса.</w:t>
            </w:r>
          </w:p>
        </w:tc>
      </w:tr>
      <w:tr w:rsidR="008F7E6D" w:rsidRPr="007009F9" w:rsidTr="007009F9">
        <w:trPr>
          <w:trHeight w:val="1986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6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288" w:right="280"/>
              <w:jc w:val="center"/>
            </w:pPr>
            <w:r>
              <w:t>1-16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16" w:lineRule="auto"/>
              <w:ind w:left="107" w:right="97"/>
              <w:jc w:val="center"/>
            </w:pPr>
            <w:r>
              <w:t>Значение опции определяет отдел по умолчанию. После ввода цены необходимо нажать клавишу «</w:t>
            </w:r>
            <w:r>
              <w:rPr>
                <w:b/>
              </w:rPr>
              <w:t>ПИ</w:t>
            </w:r>
            <w:r>
              <w:t>», при этом номер отдела будет определен значением опции (все продажи проводятся в отдел, номер которого</w:t>
            </w:r>
            <w:r>
              <w:t xml:space="preserve"> определяется значением опции).</w:t>
            </w:r>
          </w:p>
          <w:p w:rsidR="008F7E6D" w:rsidRDefault="00C61CD8">
            <w:pPr>
              <w:pStyle w:val="TableParagraph"/>
              <w:spacing w:line="239" w:lineRule="exact"/>
              <w:ind w:left="107"/>
              <w:jc w:val="center"/>
            </w:pPr>
            <w:r>
              <w:t>При вводе кода товара из базы, для которого не определен</w:t>
            </w:r>
          </w:p>
          <w:p w:rsidR="008F7E6D" w:rsidRDefault="00C61CD8">
            <w:pPr>
              <w:pStyle w:val="TableParagraph"/>
              <w:spacing w:before="5" w:line="248" w:lineRule="exact"/>
              <w:ind w:left="107" w:right="99"/>
              <w:jc w:val="center"/>
            </w:pPr>
            <w:r>
              <w:t>отдел, его номер вводится вручную после запроса или определяется значением опции после нажатия клавиши «</w:t>
            </w:r>
            <w:r>
              <w:rPr>
                <w:b/>
              </w:rPr>
              <w:t>ПИ</w:t>
            </w:r>
            <w:r>
              <w:t>».</w:t>
            </w:r>
          </w:p>
        </w:tc>
      </w:tr>
      <w:tr w:rsidR="008F7E6D" w:rsidTr="007009F9">
        <w:trPr>
          <w:trHeight w:val="350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30"/>
              <w:ind w:right="374"/>
              <w:jc w:val="center"/>
            </w:pPr>
            <w:r>
              <w:t xml:space="preserve">      9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30"/>
              <w:ind w:left="6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30"/>
              <w:ind w:left="288" w:right="280"/>
              <w:jc w:val="center"/>
            </w:pPr>
            <w:r>
              <w:t>0-2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Количество знаков после запятой</w:t>
            </w:r>
          </w:p>
        </w:tc>
      </w:tr>
      <w:tr w:rsidR="008F7E6D" w:rsidRPr="007009F9" w:rsidTr="007009F9">
        <w:trPr>
          <w:trHeight w:val="277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13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Прогон бумаги после чека (строк)</w:t>
            </w:r>
          </w:p>
        </w:tc>
      </w:tr>
      <w:tr w:rsidR="008F7E6D" w:rsidRPr="007009F9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28"/>
              <w:ind w:left="288" w:right="280"/>
              <w:jc w:val="center"/>
            </w:pPr>
            <w:r>
              <w:t>0-10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tabs>
                <w:tab w:val="left" w:pos="1272"/>
                <w:tab w:val="left" w:pos="2128"/>
                <w:tab w:val="left" w:pos="3491"/>
                <w:tab w:val="left" w:pos="4870"/>
              </w:tabs>
              <w:spacing w:line="268" w:lineRule="exact"/>
              <w:ind w:left="107"/>
              <w:jc w:val="center"/>
            </w:pPr>
            <w:r>
              <w:t>Значение</w:t>
            </w:r>
            <w:r>
              <w:tab/>
              <w:t>опции</w:t>
            </w:r>
            <w:r>
              <w:tab/>
              <w:t>определяет</w:t>
            </w:r>
            <w:r>
              <w:tab/>
              <w:t>количество</w:t>
            </w:r>
            <w:r>
              <w:tab/>
              <w:t>дополнительного</w:t>
            </w:r>
          </w:p>
          <w:p w:rsidR="008F7E6D" w:rsidRDefault="00C61CD8">
            <w:pPr>
              <w:pStyle w:val="TableParagraph"/>
              <w:spacing w:line="264" w:lineRule="exact"/>
              <w:ind w:left="107"/>
              <w:jc w:val="center"/>
            </w:pPr>
            <w:r>
              <w:t>прогона бумаги между чеками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8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14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8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Прогон бумаги после отчетов (строк)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31"/>
              <w:ind w:left="288" w:right="280"/>
              <w:jc w:val="center"/>
            </w:pPr>
            <w:r>
              <w:t>0-10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68" w:lineRule="exact"/>
              <w:ind w:left="107"/>
              <w:jc w:val="center"/>
            </w:pPr>
            <w:r>
              <w:t>Значение опции определяет количество строк дополнительного</w:t>
            </w:r>
          </w:p>
          <w:p w:rsidR="008F7E6D" w:rsidRDefault="00C61CD8">
            <w:pPr>
              <w:pStyle w:val="TableParagraph"/>
              <w:spacing w:line="264" w:lineRule="exact"/>
              <w:ind w:left="107"/>
              <w:jc w:val="center"/>
            </w:pPr>
            <w:r>
              <w:t xml:space="preserve">прогона бумаги после </w:t>
            </w:r>
            <w:r>
              <w:t>отчетов</w:t>
            </w:r>
          </w:p>
        </w:tc>
      </w:tr>
      <w:tr w:rsidR="008F7E6D" w:rsidTr="007009F9">
        <w:trPr>
          <w:trHeight w:val="1932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C61CD8">
            <w:pPr>
              <w:pStyle w:val="TableParagraph"/>
              <w:spacing w:before="221"/>
              <w:ind w:right="314"/>
              <w:jc w:val="center"/>
            </w:pPr>
            <w:r>
              <w:t xml:space="preserve">     15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C61CD8">
            <w:pPr>
              <w:pStyle w:val="TableParagraph"/>
              <w:spacing w:before="221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C61CD8">
            <w:pPr>
              <w:pStyle w:val="TableParagraph"/>
              <w:spacing w:before="221"/>
              <w:ind w:left="288" w:right="280"/>
              <w:jc w:val="center"/>
            </w:pPr>
            <w:r>
              <w:t>1-6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70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Тип системы налогообложения:</w:t>
            </w:r>
          </w:p>
          <w:p w:rsidR="008F7E6D" w:rsidRDefault="00C61C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4" w:lineRule="exact"/>
              <w:ind w:firstLine="0"/>
              <w:jc w:val="center"/>
            </w:pPr>
            <w:r>
              <w:t>- ОСН -</w:t>
            </w:r>
            <w:r>
              <w:rPr>
                <w:spacing w:val="-4"/>
              </w:rPr>
              <w:t xml:space="preserve"> </w:t>
            </w:r>
            <w:r>
              <w:t>общая,</w:t>
            </w:r>
          </w:p>
          <w:p w:rsidR="008F7E6D" w:rsidRDefault="00C61C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firstLine="0"/>
              <w:jc w:val="center"/>
            </w:pPr>
            <w:r>
              <w:t>- УСН Доход - упрощенная с</w:t>
            </w:r>
            <w:r>
              <w:rPr>
                <w:spacing w:val="-2"/>
              </w:rPr>
              <w:t xml:space="preserve"> </w:t>
            </w:r>
            <w:r>
              <w:t>дохода,</w:t>
            </w:r>
          </w:p>
          <w:p w:rsidR="008F7E6D" w:rsidRDefault="00C61C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33" w:firstLine="0"/>
              <w:jc w:val="center"/>
            </w:pPr>
            <w:r>
              <w:t>- УСН Доход-Расход - упрощенная с доход – расхода, 4 - ЕНВД - единый налог на вмененный</w:t>
            </w:r>
            <w:r>
              <w:rPr>
                <w:spacing w:val="-9"/>
              </w:rPr>
              <w:t xml:space="preserve"> </w:t>
            </w:r>
            <w:r>
              <w:t>доход,</w:t>
            </w:r>
          </w:p>
          <w:p w:rsidR="008F7E6D" w:rsidRDefault="00C61CD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hanging="170"/>
              <w:jc w:val="center"/>
            </w:pPr>
            <w:r>
              <w:t xml:space="preserve">- </w:t>
            </w:r>
            <w:r>
              <w:rPr>
                <w:spacing w:val="-3"/>
              </w:rPr>
              <w:t xml:space="preserve">ЕСН </w:t>
            </w:r>
            <w:r>
              <w:t xml:space="preserve">- </w:t>
            </w:r>
            <w:r>
              <w:rPr>
                <w:spacing w:val="-5"/>
              </w:rPr>
              <w:t>единый сельскохозяйственный</w:t>
            </w:r>
            <w:r>
              <w:rPr>
                <w:spacing w:val="-25"/>
              </w:rPr>
              <w:t xml:space="preserve"> </w:t>
            </w:r>
            <w:r>
              <w:t>налог,</w:t>
            </w:r>
          </w:p>
          <w:p w:rsidR="008F7E6D" w:rsidRDefault="00C61CD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64" w:lineRule="exact"/>
              <w:ind w:left="287" w:hanging="180"/>
              <w:jc w:val="center"/>
            </w:pPr>
            <w:r>
              <w:t>- Патент -</w:t>
            </w:r>
            <w:r>
              <w:t xml:space="preserve"> патентная система</w:t>
            </w:r>
            <w:r>
              <w:rPr>
                <w:spacing w:val="-4"/>
              </w:rPr>
              <w:t xml:space="preserve"> </w:t>
            </w:r>
            <w:r>
              <w:t>налогообложения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16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Ограничение стоимости товара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Без ограничений</w:t>
            </w:r>
          </w:p>
        </w:tc>
      </w:tr>
      <w:tr w:rsidR="008F7E6D" w:rsidRPr="007009F9" w:rsidTr="007009F9">
        <w:trPr>
          <w:trHeight w:val="554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31"/>
              <w:ind w:left="288" w:right="281"/>
              <w:jc w:val="center"/>
            </w:pPr>
            <w:r>
              <w:t>1-50000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70" w:lineRule="exact"/>
              <w:ind w:left="107"/>
              <w:jc w:val="center"/>
            </w:pPr>
            <w:r>
              <w:t>Ограничение общей стоимости товара (с учетом количества</w:t>
            </w:r>
          </w:p>
          <w:p w:rsidR="008F7E6D" w:rsidRDefault="00C61CD8">
            <w:pPr>
              <w:pStyle w:val="TableParagraph"/>
              <w:spacing w:line="264" w:lineRule="exact"/>
              <w:ind w:left="107"/>
              <w:jc w:val="center"/>
            </w:pPr>
            <w:r>
              <w:t>товара) при вводе в кассовом режиме (в рублях)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17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right="1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Виртуальный Com-порт через USB по </w:t>
            </w:r>
            <w:r>
              <w:rPr>
                <w:b/>
              </w:rPr>
              <w:t>стандарту USB CDC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 назначен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Сканер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Весы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ПЭВМ</w:t>
            </w:r>
          </w:p>
        </w:tc>
      </w:tr>
      <w:tr w:rsidR="008F7E6D" w:rsidRPr="007009F9" w:rsidTr="007009F9">
        <w:trPr>
          <w:trHeight w:val="554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18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6"/>
              </w:rPr>
            </w:pPr>
          </w:p>
          <w:p w:rsidR="008F7E6D" w:rsidRDefault="00C61CD8">
            <w:pPr>
              <w:pStyle w:val="TableParagraph"/>
              <w:spacing w:before="1"/>
              <w:ind w:right="1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2" w:line="27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Скорость обмена информацией через виртуальный Com- порт через USB по стандарту USB CDC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4800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9600</w:t>
            </w:r>
          </w:p>
        </w:tc>
      </w:tr>
      <w:tr w:rsidR="008F7E6D" w:rsidTr="007009F9">
        <w:trPr>
          <w:trHeight w:val="552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07" w:right="80" w:firstLine="216"/>
              <w:jc w:val="center"/>
              <w:rPr>
                <w:b/>
              </w:rPr>
            </w:pPr>
            <w:r>
              <w:rPr>
                <w:b/>
              </w:rPr>
              <w:t>№ опции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50" w:right="16" w:hanging="39"/>
              <w:jc w:val="center"/>
              <w:rPr>
                <w:b/>
              </w:rPr>
            </w:pPr>
            <w:r>
              <w:rPr>
                <w:b/>
              </w:rPr>
              <w:t>Значение по умолчанию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96" w:right="9" w:hanging="180"/>
              <w:jc w:val="center"/>
              <w:rPr>
                <w:b/>
              </w:rPr>
            </w:pPr>
            <w:r>
              <w:rPr>
                <w:b/>
              </w:rPr>
              <w:t>Допустимые значения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24"/>
              <w:ind w:left="2822" w:right="2812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19200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38400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4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57600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115200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19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Назначение СОМ1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нет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Сканер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Весы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ПЭВМ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20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Скорость обмена информацией через СОМ1</w:t>
            </w:r>
          </w:p>
        </w:tc>
      </w:tr>
      <w:tr w:rsidR="008F7E6D" w:rsidTr="007009F9">
        <w:trPr>
          <w:trHeight w:val="276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4800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9600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19200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38400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4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57600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115200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21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0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Назначение СОМ2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нет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Сканер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Весы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ПЭВМ</w:t>
            </w:r>
          </w:p>
        </w:tc>
      </w:tr>
      <w:tr w:rsidR="008F7E6D" w:rsidRPr="007009F9" w:rsidTr="007009F9">
        <w:trPr>
          <w:trHeight w:val="276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9"/>
              <w:jc w:val="center"/>
              <w:rPr>
                <w:rFonts w:ascii="Arial" w:hAnsi="Arial"/>
                <w:b/>
                <w:sz w:val="20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22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9"/>
              <w:jc w:val="center"/>
              <w:rPr>
                <w:rFonts w:ascii="Arial" w:hAnsi="Arial"/>
                <w:b/>
                <w:sz w:val="20"/>
              </w:rPr>
            </w:pPr>
          </w:p>
          <w:p w:rsidR="008F7E6D" w:rsidRDefault="00C61CD8">
            <w:pPr>
              <w:pStyle w:val="TableParagraph"/>
              <w:ind w:right="1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Скорость обмена информацией через СОМ2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4800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9600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19200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38400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4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57600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115200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304" w:right="297"/>
              <w:jc w:val="center"/>
            </w:pPr>
            <w:r>
              <w:t>23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28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288" w:right="280"/>
              <w:jc w:val="center"/>
            </w:pPr>
            <w:r>
              <w:t>0-2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rPr>
                <w:b/>
              </w:rPr>
              <w:t xml:space="preserve">Назначение USB Slave </w:t>
            </w:r>
            <w:r>
              <w:t>(0-нет, 1-комп (конфигуратор), 2-комп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(фиск. рег.))</w:t>
            </w:r>
          </w:p>
        </w:tc>
      </w:tr>
      <w:tr w:rsidR="008F7E6D" w:rsidTr="007009F9">
        <w:trPr>
          <w:trHeight w:val="827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24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681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288" w:right="280"/>
              <w:jc w:val="center"/>
            </w:pPr>
            <w:r>
              <w:t>0-1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rPr>
                <w:b/>
              </w:rPr>
              <w:t xml:space="preserve">USB HID – </w:t>
            </w:r>
            <w:r>
              <w:rPr>
                <w:b/>
              </w:rPr>
              <w:t>устройство</w:t>
            </w:r>
            <w:r>
              <w:t>: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0-обрабатывается как сканер,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1-обрабатывается как клавиатура</w:t>
            </w:r>
          </w:p>
        </w:tc>
      </w:tr>
      <w:tr w:rsidR="008F7E6D" w:rsidTr="007009F9">
        <w:trPr>
          <w:trHeight w:val="276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25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81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288" w:right="280"/>
              <w:jc w:val="center"/>
            </w:pPr>
            <w:r>
              <w:t>0-1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rPr>
                <w:b/>
              </w:rPr>
              <w:t>конфигурация USB</w:t>
            </w:r>
            <w:r>
              <w:t>: 0 - Device 1 – Host</w:t>
            </w:r>
          </w:p>
        </w:tc>
      </w:tr>
      <w:tr w:rsidR="008F7E6D" w:rsidRPr="007009F9" w:rsidTr="007009F9">
        <w:trPr>
          <w:trHeight w:val="551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26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541" w:right="535"/>
              <w:jc w:val="center"/>
            </w:pPr>
            <w:r>
              <w:t>120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Отключение подсветки экрана</w:t>
            </w:r>
          </w:p>
          <w:p w:rsidR="008F7E6D" w:rsidRDefault="00C61CD8">
            <w:pPr>
              <w:pStyle w:val="TableParagraph"/>
              <w:spacing w:line="273" w:lineRule="exact"/>
              <w:ind w:left="107"/>
              <w:jc w:val="center"/>
            </w:pPr>
            <w:r>
              <w:t>(в секундах)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Подсветка экрана не отключается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6"/>
              <w:ind w:left="288" w:right="280"/>
              <w:jc w:val="center"/>
            </w:pPr>
            <w:r>
              <w:t>5-600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 xml:space="preserve">Значение опции определяет </w:t>
            </w:r>
            <w:r>
              <w:t>количество секунд, по истечении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которых подсветка экрана отключается.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28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Показывать дату/время при включении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Показывать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 показывать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34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29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34"/>
              </w:rPr>
            </w:pPr>
          </w:p>
          <w:p w:rsidR="008F7E6D" w:rsidRDefault="00C61CD8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Протокол весов</w:t>
            </w:r>
          </w:p>
        </w:tc>
      </w:tr>
      <w:tr w:rsidR="008F7E6D" w:rsidTr="007009F9">
        <w:trPr>
          <w:trHeight w:val="278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Весы ОКА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Весы MW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Весы CAS_CI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Весы CAS_ER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4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Весы CAS_М</w:t>
            </w:r>
          </w:p>
        </w:tc>
      </w:tr>
      <w:tr w:rsidR="008F7E6D" w:rsidTr="007009F9">
        <w:trPr>
          <w:trHeight w:val="552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07" w:right="80" w:firstLine="216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опции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50" w:right="16" w:hanging="39"/>
              <w:jc w:val="center"/>
              <w:rPr>
                <w:b/>
              </w:rPr>
            </w:pPr>
            <w:r>
              <w:rPr>
                <w:b/>
              </w:rPr>
              <w:t>Значение по умолчанию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96" w:right="9" w:hanging="180"/>
              <w:jc w:val="center"/>
              <w:rPr>
                <w:b/>
              </w:rPr>
            </w:pPr>
            <w:r>
              <w:rPr>
                <w:b/>
              </w:rPr>
              <w:t>Допустимые значения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24"/>
              <w:ind w:left="2822" w:right="2812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8F7E6D" w:rsidTr="007009F9">
        <w:trPr>
          <w:trHeight w:val="554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304" w:right="297"/>
              <w:jc w:val="center"/>
            </w:pPr>
            <w:r>
              <w:t>30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288" w:right="280"/>
              <w:jc w:val="center"/>
            </w:pPr>
            <w:r>
              <w:t>0-5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tabs>
                <w:tab w:val="left" w:pos="1313"/>
                <w:tab w:val="left" w:pos="1872"/>
                <w:tab w:val="left" w:pos="3424"/>
                <w:tab w:val="left" w:pos="3832"/>
                <w:tab w:val="left" w:pos="4161"/>
                <w:tab w:val="left" w:pos="4812"/>
                <w:tab w:val="left" w:pos="5875"/>
              </w:tabs>
              <w:spacing w:line="258" w:lineRule="exact"/>
              <w:ind w:left="107"/>
              <w:jc w:val="center"/>
            </w:pPr>
            <w:r>
              <w:rPr>
                <w:b/>
              </w:rPr>
              <w:t>Звуковое</w:t>
            </w:r>
            <w:r>
              <w:rPr>
                <w:b/>
              </w:rPr>
              <w:tab/>
              <w:t>эхо</w:t>
            </w:r>
            <w:r>
              <w:rPr>
                <w:b/>
              </w:rPr>
              <w:tab/>
              <w:t>клавиатуры</w:t>
            </w:r>
            <w:r>
              <w:rPr>
                <w:b/>
              </w:rPr>
              <w:tab/>
            </w:r>
            <w:r>
              <w:t>(0</w:t>
            </w:r>
            <w:r>
              <w:tab/>
              <w:t>–</w:t>
            </w:r>
            <w:r>
              <w:tab/>
              <w:t>звук</w:t>
            </w:r>
            <w:r>
              <w:tab/>
              <w:t>нажатия</w:t>
            </w:r>
            <w:r>
              <w:tab/>
              <w:t>клавиш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отключен, 1 – стандартный звук, 2-5 – тихий)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21"/>
              <w:ind w:left="304" w:right="297"/>
              <w:jc w:val="center"/>
            </w:pPr>
            <w:r>
              <w:t>31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21"/>
              <w:ind w:left="541" w:right="535"/>
              <w:jc w:val="center"/>
            </w:pPr>
            <w:r>
              <w:t>130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Контрастность дисплея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18"/>
              <w:jc w:val="center"/>
            </w:pPr>
            <w:r>
              <w:t>1-254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Значение опции определяет контрастность дисплея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5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33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5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Префикс весового штрих-кода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Весовой штрих-код не поддерживается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18"/>
              <w:jc w:val="center"/>
            </w:pPr>
            <w:r>
              <w:t>20-29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Штрих-код, начинающийся с цифр от 20 до 29, понимается как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весовой</w:t>
            </w:r>
          </w:p>
        </w:tc>
      </w:tr>
      <w:tr w:rsidR="008F7E6D" w:rsidTr="007009F9">
        <w:trPr>
          <w:trHeight w:val="278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39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Скидки на чек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Запрещены</w:t>
            </w:r>
          </w:p>
        </w:tc>
      </w:tr>
      <w:tr w:rsidR="008F7E6D" w:rsidTr="007009F9">
        <w:trPr>
          <w:trHeight w:val="276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Разрешены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40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Суммовые продажи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 xml:space="preserve">Разрешены операции по </w:t>
            </w:r>
            <w:r>
              <w:t>справочнику кодов цен и операции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ручного ввода сумм.</w:t>
            </w:r>
          </w:p>
        </w:tc>
      </w:tr>
      <w:tr w:rsidR="008F7E6D" w:rsidRPr="007009F9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tabs>
                <w:tab w:val="left" w:pos="1452"/>
                <w:tab w:val="left" w:pos="2622"/>
                <w:tab w:val="left" w:pos="3519"/>
                <w:tab w:val="left" w:pos="3972"/>
                <w:tab w:val="left" w:pos="6277"/>
              </w:tabs>
              <w:spacing w:line="256" w:lineRule="exact"/>
              <w:ind w:left="107"/>
              <w:jc w:val="center"/>
            </w:pPr>
            <w:r>
              <w:t>Разрешены</w:t>
            </w:r>
            <w:r>
              <w:tab/>
              <w:t>операции</w:t>
            </w:r>
            <w:r>
              <w:tab/>
              <w:t>только</w:t>
            </w:r>
            <w:r>
              <w:tab/>
              <w:t>по</w:t>
            </w:r>
            <w:r>
              <w:tab/>
              <w:t xml:space="preserve">справочнику  </w:t>
            </w:r>
            <w:r>
              <w:rPr>
                <w:spacing w:val="14"/>
              </w:rPr>
              <w:t xml:space="preserve"> </w:t>
            </w:r>
            <w:r>
              <w:t>кодов</w:t>
            </w:r>
            <w:r>
              <w:tab/>
              <w:t>цен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(операции ручного ввода сумм запрещены).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41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16"/>
              <w:jc w:val="center"/>
            </w:pPr>
            <w:r>
              <w:rPr>
                <w:b/>
              </w:rPr>
              <w:t>Оформление в кассовом режиме по умолчанию</w:t>
            </w:r>
            <w:r>
              <w:t>:</w:t>
            </w:r>
          </w:p>
        </w:tc>
      </w:tr>
      <w:tr w:rsidR="008F7E6D" w:rsidTr="007009F9">
        <w:trPr>
          <w:trHeight w:val="278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16"/>
              <w:jc w:val="center"/>
            </w:pPr>
            <w:r>
              <w:t>чек прихода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16"/>
              <w:jc w:val="center"/>
            </w:pPr>
            <w:r>
              <w:t>чек расхода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48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288" w:right="280"/>
              <w:jc w:val="center"/>
            </w:pPr>
            <w:r>
              <w:t>1-7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Яркость </w:t>
            </w:r>
            <w:r>
              <w:rPr>
                <w:b/>
              </w:rPr>
              <w:t>печати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49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78"/>
              <w:jc w:val="center"/>
            </w:pPr>
            <w:r>
              <w:t>1-15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Системный шрифт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50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78"/>
              <w:jc w:val="center"/>
            </w:pPr>
            <w:r>
              <w:t>1-15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Основной шрифт кассового режима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51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78"/>
              <w:jc w:val="center"/>
            </w:pPr>
            <w:r>
              <w:t>1-15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Шрифт наименования товара</w:t>
            </w:r>
          </w:p>
        </w:tc>
      </w:tr>
      <w:tr w:rsidR="008F7E6D" w:rsidTr="007009F9">
        <w:trPr>
          <w:trHeight w:val="278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304" w:right="297"/>
              <w:jc w:val="center"/>
            </w:pPr>
            <w:r>
              <w:t>52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Зарезервирована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53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541" w:right="535"/>
              <w:jc w:val="center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78"/>
              <w:jc w:val="center"/>
            </w:pPr>
            <w:r>
              <w:t>5-17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Шрифт итоговых сумм чека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54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78"/>
              <w:jc w:val="center"/>
            </w:pPr>
            <w:r>
              <w:t>1-15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Шрифт печати журнала продаж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304" w:right="297"/>
              <w:jc w:val="center"/>
            </w:pPr>
            <w:r>
              <w:t>55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right="478"/>
              <w:jc w:val="center"/>
            </w:pPr>
            <w:r>
              <w:t>1-15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6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Шрифт печати отчетов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56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Загружать графический логотип в заголовок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 печатать логотип, используется текстовый заголовок</w:t>
            </w:r>
          </w:p>
        </w:tc>
      </w:tr>
      <w:tr w:rsidR="008F7E6D" w:rsidRPr="007009F9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Печатать только логотип, текстовый заголовок игнорируется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Печатать сначала логотип, затем текстовый заголовок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3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 xml:space="preserve">Печатать сначала текстовый </w:t>
            </w:r>
            <w:r>
              <w:t>заголовок, затем логотип</w:t>
            </w:r>
          </w:p>
        </w:tc>
      </w:tr>
      <w:tr w:rsidR="008F7E6D" w:rsidRPr="007009F9" w:rsidTr="007009F9">
        <w:trPr>
          <w:trHeight w:val="276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5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57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5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Передача СМС в кассовом режиме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Касса не передает СМС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Касса передает СМС через модем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 xml:space="preserve">(п. </w:t>
            </w:r>
            <w:hyperlink w:anchor="_bookmark19">
              <w:r>
                <w:rPr>
                  <w:rStyle w:val="-"/>
                  <w:color w:val="0000FF"/>
                </w:rPr>
                <w:t>4.7</w:t>
              </w:r>
            </w:hyperlink>
            <w:r>
              <w:t>)</w:t>
            </w:r>
          </w:p>
        </w:tc>
      </w:tr>
      <w:tr w:rsidR="008F7E6D" w:rsidRPr="007009F9" w:rsidTr="007009F9">
        <w:trPr>
          <w:trHeight w:val="551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58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07" w:right="86"/>
              <w:jc w:val="center"/>
            </w:pPr>
            <w:r>
              <w:rPr>
                <w:b/>
              </w:rPr>
              <w:t>Печать при закрытии смены нефискального отчета за смену</w:t>
            </w:r>
            <w:r>
              <w:t>:</w:t>
            </w:r>
          </w:p>
        </w:tc>
      </w:tr>
      <w:tr w:rsidR="008F7E6D" w:rsidTr="007009F9">
        <w:trPr>
          <w:trHeight w:val="278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не печатать</w:t>
            </w:r>
          </w:p>
        </w:tc>
      </w:tr>
      <w:tr w:rsidR="008F7E6D" w:rsidTr="007009F9">
        <w:trPr>
          <w:trHeight w:val="282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печатать отчет за смену</w:t>
            </w:r>
          </w:p>
        </w:tc>
      </w:tr>
      <w:tr w:rsidR="008F7E6D" w:rsidRPr="007009F9" w:rsidTr="007009F9">
        <w:trPr>
          <w:trHeight w:val="282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печатать отчет за смену с ГРОСС-итогами</w:t>
            </w:r>
          </w:p>
        </w:tc>
      </w:tr>
      <w:tr w:rsidR="008F7E6D" w:rsidRPr="007009F9" w:rsidTr="007009F9">
        <w:trPr>
          <w:trHeight w:val="551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60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07"/>
              <w:jc w:val="center"/>
            </w:pPr>
            <w:r>
              <w:rPr>
                <w:b/>
              </w:rPr>
              <w:t>Печать при закрытии смены нефискального отчета по отделам</w:t>
            </w:r>
            <w:r>
              <w:t>:</w:t>
            </w:r>
          </w:p>
        </w:tc>
      </w:tr>
      <w:tr w:rsidR="008F7E6D" w:rsidTr="007009F9">
        <w:trPr>
          <w:trHeight w:val="276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 печатать отчет</w:t>
            </w:r>
          </w:p>
        </w:tc>
      </w:tr>
      <w:tr w:rsidR="008F7E6D" w:rsidTr="007009F9">
        <w:trPr>
          <w:trHeight w:val="282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печатать отчет</w:t>
            </w:r>
          </w:p>
        </w:tc>
      </w:tr>
      <w:tr w:rsidR="008F7E6D" w:rsidRPr="007009F9" w:rsidTr="007009F9">
        <w:trPr>
          <w:trHeight w:val="282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2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печатать отчет с ГРОСС-итогами</w:t>
            </w:r>
          </w:p>
        </w:tc>
      </w:tr>
      <w:tr w:rsidR="008F7E6D" w:rsidRPr="007009F9" w:rsidTr="007009F9">
        <w:trPr>
          <w:trHeight w:val="278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61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Печать при закрытии смены </w:t>
            </w:r>
            <w:r>
              <w:rPr>
                <w:b/>
              </w:rPr>
              <w:t>нефискального отчета по</w:t>
            </w:r>
          </w:p>
        </w:tc>
      </w:tr>
      <w:tr w:rsidR="008F7E6D" w:rsidTr="007009F9">
        <w:trPr>
          <w:trHeight w:val="552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07" w:right="80" w:firstLine="216"/>
              <w:jc w:val="center"/>
              <w:rPr>
                <w:b/>
              </w:rPr>
            </w:pPr>
            <w:r>
              <w:rPr>
                <w:b/>
              </w:rPr>
              <w:t>№ опции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50" w:right="16" w:hanging="39"/>
              <w:jc w:val="center"/>
              <w:rPr>
                <w:b/>
              </w:rPr>
            </w:pPr>
            <w:r>
              <w:rPr>
                <w:b/>
              </w:rPr>
              <w:t>Значение по умолчанию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line="235" w:lineRule="auto"/>
              <w:ind w:left="196" w:right="9" w:hanging="180"/>
              <w:jc w:val="center"/>
              <w:rPr>
                <w:b/>
              </w:rPr>
            </w:pPr>
            <w:r>
              <w:rPr>
                <w:b/>
              </w:rPr>
              <w:t>Допустимые значения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24"/>
              <w:ind w:left="2822" w:right="2812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rPr>
                <w:b/>
              </w:rPr>
              <w:t>товарам</w:t>
            </w:r>
            <w:r>
              <w:t>: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Не печатать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Печатать отчет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3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62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33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rPr>
                <w:b/>
              </w:rPr>
              <w:t>Расчет налога</w:t>
            </w:r>
            <w:r>
              <w:t>: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при оформлении товара со ставкой НДС 10% или 20%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соответствующий налог начисляется</w:t>
            </w:r>
          </w:p>
        </w:tc>
      </w:tr>
      <w:tr w:rsidR="008F7E6D" w:rsidRPr="007009F9" w:rsidTr="007009F9">
        <w:trPr>
          <w:trHeight w:val="82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при оформлении товара со ставкой НДС 10% или 20%</w:t>
            </w:r>
          </w:p>
          <w:p w:rsidR="008F7E6D" w:rsidRDefault="00C61CD8">
            <w:pPr>
              <w:pStyle w:val="TableParagraph"/>
              <w:ind w:left="107" w:right="86"/>
              <w:jc w:val="center"/>
            </w:pPr>
            <w:r>
              <w:t>соответствующий налог выделяется из цены товара аналогично НДС 10/110% и 20/120 %</w:t>
            </w:r>
          </w:p>
        </w:tc>
      </w:tr>
      <w:tr w:rsidR="008F7E6D" w:rsidTr="007009F9">
        <w:trPr>
          <w:trHeight w:val="554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63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3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rPr>
                <w:b/>
              </w:rPr>
              <w:t xml:space="preserve">Расчет выделяемого налога </w:t>
            </w:r>
            <w:r>
              <w:t>(10/110%, 20/120% и при опции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62, установленной в значение «1», 10% и 20%):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 xml:space="preserve">Налог </w:t>
            </w:r>
            <w:r>
              <w:t>считается на цену единицы товара</w:t>
            </w:r>
          </w:p>
        </w:tc>
      </w:tr>
      <w:tr w:rsidR="008F7E6D" w:rsidTr="007009F9">
        <w:trPr>
          <w:trHeight w:val="551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6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Налог считается на общую стоимость товара (с</w:t>
            </w:r>
            <w:r>
              <w:rPr>
                <w:spacing w:val="51"/>
              </w:rPr>
              <w:t xml:space="preserve"> </w:t>
            </w:r>
            <w:r>
              <w:t>учетом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количества)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64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Номер билета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65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Серия билета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66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spacing w:before="1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Вид номенклатуры: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Товар</w:t>
            </w:r>
          </w:p>
        </w:tc>
      </w:tr>
      <w:tr w:rsidR="008F7E6D" w:rsidTr="007009F9">
        <w:trPr>
          <w:trHeight w:val="27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Услуга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67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3"/>
              </w:rPr>
            </w:pPr>
          </w:p>
          <w:p w:rsidR="008F7E6D" w:rsidRDefault="00C61CD8">
            <w:pPr>
              <w:pStyle w:val="TableParagraph"/>
              <w:spacing w:before="1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Тип оплаты: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Наличные</w:t>
            </w:r>
          </w:p>
        </w:tc>
      </w:tr>
      <w:tr w:rsidR="008F7E6D" w:rsidTr="007009F9">
        <w:trPr>
          <w:trHeight w:val="276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Безналичные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70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ИНН покупателя</w:t>
            </w:r>
          </w:p>
        </w:tc>
      </w:tr>
      <w:tr w:rsidR="008F7E6D" w:rsidTr="007009F9">
        <w:trPr>
          <w:trHeight w:val="275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304" w:right="297"/>
              <w:jc w:val="center"/>
            </w:pPr>
            <w:r>
              <w:t>71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Наименование покупателя</w:t>
            </w:r>
          </w:p>
        </w:tc>
      </w:tr>
      <w:tr w:rsidR="008F7E6D" w:rsidTr="007009F9">
        <w:trPr>
          <w:trHeight w:val="553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304" w:right="297"/>
              <w:jc w:val="center"/>
            </w:pPr>
            <w:r>
              <w:t>73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9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8" w:lineRule="exact"/>
              <w:ind w:left="107"/>
              <w:jc w:val="center"/>
            </w:pPr>
            <w:r>
              <w:t>Выбор способа расчета по клавише «ВЗ» (при работе со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сканером)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spacing w:before="1"/>
              <w:ind w:left="304" w:right="297"/>
              <w:jc w:val="center"/>
            </w:pPr>
            <w:r>
              <w:t>80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rPr>
                <w:b/>
              </w:rPr>
              <w:t>Передача данных на сервер ОФД и сервер ККТ</w:t>
            </w:r>
            <w:r>
              <w:t>: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в соответствии с программированием ФН, ОФД, сервера ККТ</w:t>
            </w:r>
          </w:p>
        </w:tc>
      </w:tr>
      <w:tr w:rsidR="008F7E6D" w:rsidRPr="007009F9" w:rsidTr="007009F9">
        <w:trPr>
          <w:trHeight w:val="827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22"/>
              </w:rPr>
            </w:pPr>
          </w:p>
          <w:p w:rsidR="008F7E6D" w:rsidRDefault="00C61CD8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 xml:space="preserve">при включении </w:t>
            </w:r>
            <w:r>
              <w:t>ККТ на дисплее отображаются запросы на</w:t>
            </w:r>
          </w:p>
          <w:p w:rsidR="008F7E6D" w:rsidRDefault="00C61CD8">
            <w:pPr>
              <w:pStyle w:val="TableParagraph"/>
              <w:ind w:left="107" w:right="124"/>
              <w:jc w:val="center"/>
            </w:pPr>
            <w:r>
              <w:t>подключение к серверу ОФД и к серверу ККТ (в соответствии с программированием ФН, ОФД, сервера</w:t>
            </w:r>
            <w:r>
              <w:rPr>
                <w:spacing w:val="-6"/>
              </w:rPr>
              <w:t xml:space="preserve"> </w:t>
            </w:r>
            <w:r>
              <w:t>ККТ)</w:t>
            </w:r>
          </w:p>
        </w:tc>
      </w:tr>
      <w:tr w:rsidR="008F7E6D" w:rsidRPr="007009F9" w:rsidTr="007009F9">
        <w:trPr>
          <w:trHeight w:val="275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304" w:right="297"/>
              <w:jc w:val="center"/>
            </w:pPr>
            <w:r>
              <w:t>81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</w:p>
          <w:p w:rsidR="008F7E6D" w:rsidRDefault="008F7E6D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21"/>
              </w:rPr>
            </w:pPr>
          </w:p>
          <w:p w:rsidR="008F7E6D" w:rsidRDefault="00C61CD8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Обновление загруженных с сервера данных:</w:t>
            </w:r>
          </w:p>
        </w:tc>
      </w:tr>
      <w:tr w:rsidR="008F7E6D" w:rsidTr="007009F9">
        <w:trPr>
          <w:trHeight w:val="552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Pr="007009F9" w:rsidRDefault="008F7E6D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0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tabs>
                <w:tab w:val="left" w:pos="1654"/>
                <w:tab w:val="left" w:pos="3356"/>
                <w:tab w:val="left" w:pos="3814"/>
                <w:tab w:val="left" w:pos="4944"/>
                <w:tab w:val="left" w:pos="6064"/>
              </w:tabs>
              <w:spacing w:line="256" w:lineRule="exact"/>
              <w:ind w:left="107"/>
              <w:jc w:val="center"/>
            </w:pPr>
            <w:r>
              <w:t>обновление</w:t>
            </w:r>
            <w:r>
              <w:tab/>
              <w:t>загруженных</w:t>
            </w:r>
            <w:r>
              <w:tab/>
              <w:t>с</w:t>
            </w:r>
            <w:r>
              <w:tab/>
              <w:t>сервера</w:t>
            </w:r>
            <w:r>
              <w:tab/>
              <w:t>данных</w:t>
            </w:r>
            <w:r>
              <w:tab/>
              <w:t>после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 xml:space="preserve">подтверждения </w:t>
            </w:r>
            <w:r>
              <w:t>запроса</w:t>
            </w:r>
          </w:p>
        </w:tc>
      </w:tr>
      <w:tr w:rsidR="008F7E6D" w:rsidRPr="007009F9" w:rsidTr="007009F9">
        <w:trPr>
          <w:trHeight w:val="554"/>
          <w:jc w:val="center"/>
        </w:trPr>
        <w:tc>
          <w:tcPr>
            <w:tcW w:w="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8F7E6D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before="119"/>
              <w:ind w:left="6"/>
              <w:jc w:val="center"/>
            </w:pPr>
            <w:r>
              <w:t>1</w:t>
            </w:r>
          </w:p>
        </w:tc>
        <w:tc>
          <w:tcPr>
            <w:tcW w:w="6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F7E6D" w:rsidRDefault="00C61CD8">
            <w:pPr>
              <w:pStyle w:val="TableParagraph"/>
              <w:spacing w:line="256" w:lineRule="exact"/>
              <w:ind w:left="107"/>
              <w:jc w:val="center"/>
            </w:pPr>
            <w:r>
              <w:t>автоматическое обновление</w:t>
            </w:r>
          </w:p>
          <w:p w:rsidR="008F7E6D" w:rsidRDefault="00C61CD8">
            <w:pPr>
              <w:pStyle w:val="TableParagraph"/>
              <w:ind w:left="107"/>
              <w:jc w:val="center"/>
            </w:pPr>
            <w:r>
              <w:t>загруженных с сервера данных без запроса подтверждения</w:t>
            </w:r>
          </w:p>
        </w:tc>
      </w:tr>
    </w:tbl>
    <w:p w:rsidR="008F7E6D" w:rsidRPr="007009F9" w:rsidRDefault="008F7E6D">
      <w:pPr>
        <w:pStyle w:val="a4"/>
        <w:jc w:val="center"/>
        <w:rPr>
          <w:lang w:val="ru-RU"/>
        </w:rPr>
      </w:pPr>
    </w:p>
    <w:sectPr w:rsidR="008F7E6D" w:rsidRPr="007009F9" w:rsidSect="008F7E6D">
      <w:headerReference w:type="default" r:id="rId7"/>
      <w:pgSz w:w="11906" w:h="16838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D8" w:rsidRDefault="00C61CD8" w:rsidP="008F7E6D">
      <w:r>
        <w:separator/>
      </w:r>
    </w:p>
  </w:endnote>
  <w:endnote w:type="continuationSeparator" w:id="1">
    <w:p w:rsidR="00C61CD8" w:rsidRDefault="00C61CD8" w:rsidP="008F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D8" w:rsidRDefault="00C61CD8" w:rsidP="008F7E6D">
      <w:r>
        <w:separator/>
      </w:r>
    </w:p>
  </w:footnote>
  <w:footnote w:type="continuationSeparator" w:id="1">
    <w:p w:rsidR="00C61CD8" w:rsidRDefault="00C61CD8" w:rsidP="008F7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6D" w:rsidRDefault="008F7E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3839"/>
    <w:multiLevelType w:val="multilevel"/>
    <w:tmpl w:val="33666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D500D9"/>
    <w:multiLevelType w:val="multilevel"/>
    <w:tmpl w:val="8CB0B93C"/>
    <w:lvl w:ilvl="0">
      <w:start w:val="1"/>
      <w:numFmt w:val="decimal"/>
      <w:lvlText w:val="%1"/>
      <w:lvlJc w:val="left"/>
      <w:pPr>
        <w:ind w:left="107" w:hanging="180"/>
      </w:pPr>
      <w:rPr>
        <w:rFonts w:eastAsia="Times New Roman" w:cs="Times New Roman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64" w:hanging="18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429" w:hanging="18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094" w:hanging="18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758" w:hanging="18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3423" w:hanging="18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4088" w:hanging="18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4752" w:hanging="18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5417" w:hanging="180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5A4845A0"/>
    <w:multiLevelType w:val="multilevel"/>
    <w:tmpl w:val="99D05604"/>
    <w:lvl w:ilvl="0">
      <w:start w:val="5"/>
      <w:numFmt w:val="decimal"/>
      <w:lvlText w:val="%1"/>
      <w:lvlJc w:val="left"/>
      <w:pPr>
        <w:ind w:left="277" w:hanging="171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926" w:hanging="171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573" w:hanging="171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220" w:hanging="171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866" w:hanging="171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3513" w:hanging="171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4160" w:hanging="171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4806" w:hanging="171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5453" w:hanging="171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E6D"/>
    <w:rsid w:val="007009F9"/>
    <w:rsid w:val="008F7E6D"/>
    <w:rsid w:val="00C6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7E6D"/>
    <w:pPr>
      <w:spacing w:before="89"/>
      <w:ind w:left="312"/>
      <w:outlineLvl w:val="1"/>
    </w:pPr>
    <w:rPr>
      <w:rFonts w:ascii="Arial" w:eastAsia="Arial" w:hAnsi="Arial" w:cs="Arial"/>
      <w:b/>
      <w:bCs/>
      <w:sz w:val="32"/>
      <w:szCs w:val="32"/>
      <w:lang w:val="ru-RU" w:eastAsia="ru-RU" w:bidi="ru-RU"/>
    </w:rPr>
  </w:style>
  <w:style w:type="character" w:customStyle="1" w:styleId="ListLabel28">
    <w:name w:val="ListLabel 28"/>
    <w:qFormat/>
    <w:rsid w:val="008F7E6D"/>
    <w:rPr>
      <w:rFonts w:eastAsia="Symbol" w:cs="Symbol"/>
      <w:w w:val="100"/>
      <w:sz w:val="24"/>
      <w:szCs w:val="24"/>
      <w:lang w:val="ru-RU" w:eastAsia="ru-RU" w:bidi="ru-RU"/>
    </w:rPr>
  </w:style>
  <w:style w:type="character" w:customStyle="1" w:styleId="ListLabel29">
    <w:name w:val="ListLabel 29"/>
    <w:qFormat/>
    <w:rsid w:val="008F7E6D"/>
    <w:rPr>
      <w:lang w:val="ru-RU" w:eastAsia="ru-RU" w:bidi="ru-RU"/>
    </w:rPr>
  </w:style>
  <w:style w:type="character" w:customStyle="1" w:styleId="ListLabel30">
    <w:name w:val="ListLabel 30"/>
    <w:qFormat/>
    <w:rsid w:val="008F7E6D"/>
    <w:rPr>
      <w:lang w:val="ru-RU" w:eastAsia="ru-RU" w:bidi="ru-RU"/>
    </w:rPr>
  </w:style>
  <w:style w:type="character" w:customStyle="1" w:styleId="ListLabel31">
    <w:name w:val="ListLabel 31"/>
    <w:qFormat/>
    <w:rsid w:val="008F7E6D"/>
    <w:rPr>
      <w:lang w:val="ru-RU" w:eastAsia="ru-RU" w:bidi="ru-RU"/>
    </w:rPr>
  </w:style>
  <w:style w:type="character" w:customStyle="1" w:styleId="ListLabel32">
    <w:name w:val="ListLabel 32"/>
    <w:qFormat/>
    <w:rsid w:val="008F7E6D"/>
    <w:rPr>
      <w:lang w:val="ru-RU" w:eastAsia="ru-RU" w:bidi="ru-RU"/>
    </w:rPr>
  </w:style>
  <w:style w:type="character" w:customStyle="1" w:styleId="ListLabel33">
    <w:name w:val="ListLabel 33"/>
    <w:qFormat/>
    <w:rsid w:val="008F7E6D"/>
    <w:rPr>
      <w:lang w:val="ru-RU" w:eastAsia="ru-RU" w:bidi="ru-RU"/>
    </w:rPr>
  </w:style>
  <w:style w:type="character" w:customStyle="1" w:styleId="ListLabel34">
    <w:name w:val="ListLabel 34"/>
    <w:qFormat/>
    <w:rsid w:val="008F7E6D"/>
    <w:rPr>
      <w:lang w:val="ru-RU" w:eastAsia="ru-RU" w:bidi="ru-RU"/>
    </w:rPr>
  </w:style>
  <w:style w:type="character" w:customStyle="1" w:styleId="ListLabel35">
    <w:name w:val="ListLabel 35"/>
    <w:qFormat/>
    <w:rsid w:val="008F7E6D"/>
    <w:rPr>
      <w:lang w:val="ru-RU" w:eastAsia="ru-RU" w:bidi="ru-RU"/>
    </w:rPr>
  </w:style>
  <w:style w:type="character" w:customStyle="1" w:styleId="ListLabel36">
    <w:name w:val="ListLabel 36"/>
    <w:qFormat/>
    <w:rsid w:val="008F7E6D"/>
    <w:rPr>
      <w:lang w:val="ru-RU" w:eastAsia="ru-RU" w:bidi="ru-RU"/>
    </w:rPr>
  </w:style>
  <w:style w:type="character" w:customStyle="1" w:styleId="ListLabel19">
    <w:name w:val="ListLabel 19"/>
    <w:qFormat/>
    <w:rsid w:val="008F7E6D"/>
    <w:rPr>
      <w:rFonts w:eastAsia="Times New Roman" w:cs="Times New Roman"/>
      <w:spacing w:val="-1"/>
      <w:w w:val="100"/>
      <w:sz w:val="24"/>
      <w:szCs w:val="24"/>
      <w:lang w:val="ru-RU" w:eastAsia="ru-RU" w:bidi="ru-RU"/>
    </w:rPr>
  </w:style>
  <w:style w:type="character" w:customStyle="1" w:styleId="ListLabel20">
    <w:name w:val="ListLabel 20"/>
    <w:qFormat/>
    <w:rsid w:val="008F7E6D"/>
    <w:rPr>
      <w:lang w:val="ru-RU" w:eastAsia="ru-RU" w:bidi="ru-RU"/>
    </w:rPr>
  </w:style>
  <w:style w:type="character" w:customStyle="1" w:styleId="ListLabel21">
    <w:name w:val="ListLabel 21"/>
    <w:qFormat/>
    <w:rsid w:val="008F7E6D"/>
    <w:rPr>
      <w:lang w:val="ru-RU" w:eastAsia="ru-RU" w:bidi="ru-RU"/>
    </w:rPr>
  </w:style>
  <w:style w:type="character" w:customStyle="1" w:styleId="ListLabel22">
    <w:name w:val="ListLabel 22"/>
    <w:qFormat/>
    <w:rsid w:val="008F7E6D"/>
    <w:rPr>
      <w:lang w:val="ru-RU" w:eastAsia="ru-RU" w:bidi="ru-RU"/>
    </w:rPr>
  </w:style>
  <w:style w:type="character" w:customStyle="1" w:styleId="ListLabel23">
    <w:name w:val="ListLabel 23"/>
    <w:qFormat/>
    <w:rsid w:val="008F7E6D"/>
    <w:rPr>
      <w:lang w:val="ru-RU" w:eastAsia="ru-RU" w:bidi="ru-RU"/>
    </w:rPr>
  </w:style>
  <w:style w:type="character" w:customStyle="1" w:styleId="ListLabel24">
    <w:name w:val="ListLabel 24"/>
    <w:qFormat/>
    <w:rsid w:val="008F7E6D"/>
    <w:rPr>
      <w:lang w:val="ru-RU" w:eastAsia="ru-RU" w:bidi="ru-RU"/>
    </w:rPr>
  </w:style>
  <w:style w:type="character" w:customStyle="1" w:styleId="ListLabel25">
    <w:name w:val="ListLabel 25"/>
    <w:qFormat/>
    <w:rsid w:val="008F7E6D"/>
    <w:rPr>
      <w:lang w:val="ru-RU" w:eastAsia="ru-RU" w:bidi="ru-RU"/>
    </w:rPr>
  </w:style>
  <w:style w:type="character" w:customStyle="1" w:styleId="ListLabel26">
    <w:name w:val="ListLabel 26"/>
    <w:qFormat/>
    <w:rsid w:val="008F7E6D"/>
    <w:rPr>
      <w:lang w:val="ru-RU" w:eastAsia="ru-RU" w:bidi="ru-RU"/>
    </w:rPr>
  </w:style>
  <w:style w:type="character" w:customStyle="1" w:styleId="ListLabel27">
    <w:name w:val="ListLabel 27"/>
    <w:qFormat/>
    <w:rsid w:val="008F7E6D"/>
    <w:rPr>
      <w:lang w:val="ru-RU" w:eastAsia="ru-RU" w:bidi="ru-RU"/>
    </w:rPr>
  </w:style>
  <w:style w:type="character" w:customStyle="1" w:styleId="ListLabel10">
    <w:name w:val="ListLabel 10"/>
    <w:qFormat/>
    <w:rsid w:val="008F7E6D"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customStyle="1" w:styleId="ListLabel11">
    <w:name w:val="ListLabel 11"/>
    <w:qFormat/>
    <w:rsid w:val="008F7E6D"/>
    <w:rPr>
      <w:lang w:val="ru-RU" w:eastAsia="ru-RU" w:bidi="ru-RU"/>
    </w:rPr>
  </w:style>
  <w:style w:type="character" w:customStyle="1" w:styleId="ListLabel12">
    <w:name w:val="ListLabel 12"/>
    <w:qFormat/>
    <w:rsid w:val="008F7E6D"/>
    <w:rPr>
      <w:lang w:val="ru-RU" w:eastAsia="ru-RU" w:bidi="ru-RU"/>
    </w:rPr>
  </w:style>
  <w:style w:type="character" w:customStyle="1" w:styleId="ListLabel13">
    <w:name w:val="ListLabel 13"/>
    <w:qFormat/>
    <w:rsid w:val="008F7E6D"/>
    <w:rPr>
      <w:lang w:val="ru-RU" w:eastAsia="ru-RU" w:bidi="ru-RU"/>
    </w:rPr>
  </w:style>
  <w:style w:type="character" w:customStyle="1" w:styleId="ListLabel14">
    <w:name w:val="ListLabel 14"/>
    <w:qFormat/>
    <w:rsid w:val="008F7E6D"/>
    <w:rPr>
      <w:lang w:val="ru-RU" w:eastAsia="ru-RU" w:bidi="ru-RU"/>
    </w:rPr>
  </w:style>
  <w:style w:type="character" w:customStyle="1" w:styleId="ListLabel15">
    <w:name w:val="ListLabel 15"/>
    <w:qFormat/>
    <w:rsid w:val="008F7E6D"/>
    <w:rPr>
      <w:lang w:val="ru-RU" w:eastAsia="ru-RU" w:bidi="ru-RU"/>
    </w:rPr>
  </w:style>
  <w:style w:type="character" w:customStyle="1" w:styleId="ListLabel16">
    <w:name w:val="ListLabel 16"/>
    <w:qFormat/>
    <w:rsid w:val="008F7E6D"/>
    <w:rPr>
      <w:lang w:val="ru-RU" w:eastAsia="ru-RU" w:bidi="ru-RU"/>
    </w:rPr>
  </w:style>
  <w:style w:type="character" w:customStyle="1" w:styleId="ListLabel17">
    <w:name w:val="ListLabel 17"/>
    <w:qFormat/>
    <w:rsid w:val="008F7E6D"/>
    <w:rPr>
      <w:lang w:val="ru-RU" w:eastAsia="ru-RU" w:bidi="ru-RU"/>
    </w:rPr>
  </w:style>
  <w:style w:type="character" w:customStyle="1" w:styleId="ListLabel18">
    <w:name w:val="ListLabel 18"/>
    <w:qFormat/>
    <w:rsid w:val="008F7E6D"/>
    <w:rPr>
      <w:lang w:val="ru-RU" w:eastAsia="ru-RU" w:bidi="ru-RU"/>
    </w:rPr>
  </w:style>
  <w:style w:type="character" w:customStyle="1" w:styleId="-">
    <w:name w:val="Интернет-ссылка"/>
    <w:rsid w:val="008F7E6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F7E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8F7E6D"/>
    <w:pPr>
      <w:spacing w:after="120"/>
    </w:pPr>
  </w:style>
  <w:style w:type="paragraph" w:styleId="a5">
    <w:name w:val="List"/>
    <w:basedOn w:val="a4"/>
    <w:rsid w:val="008F7E6D"/>
  </w:style>
  <w:style w:type="paragraph" w:customStyle="1" w:styleId="Caption">
    <w:name w:val="Caption"/>
    <w:basedOn w:val="a"/>
    <w:qFormat/>
    <w:rsid w:val="008F7E6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F7E6D"/>
    <w:pPr>
      <w:suppressLineNumbers/>
    </w:pPr>
  </w:style>
  <w:style w:type="paragraph" w:customStyle="1" w:styleId="Header">
    <w:name w:val="Header"/>
    <w:basedOn w:val="a"/>
    <w:rsid w:val="008F7E6D"/>
  </w:style>
  <w:style w:type="paragraph" w:customStyle="1" w:styleId="TableParagraph">
    <w:name w:val="Table Paragraph"/>
    <w:basedOn w:val="a"/>
    <w:qFormat/>
    <w:rsid w:val="008F7E6D"/>
    <w:rPr>
      <w:rFonts w:eastAsia="Times New Roman" w:cs="Times New Roman"/>
      <w:lang w:val="ru-RU" w:eastAsia="ru-RU" w:bidi="ru-RU"/>
    </w:rPr>
  </w:style>
  <w:style w:type="paragraph" w:customStyle="1" w:styleId="a7">
    <w:name w:val="Содержимое таблицы"/>
    <w:basedOn w:val="a"/>
    <w:qFormat/>
    <w:rsid w:val="008F7E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5</cp:revision>
  <dcterms:created xsi:type="dcterms:W3CDTF">2009-04-16T11:32:00Z</dcterms:created>
  <dcterms:modified xsi:type="dcterms:W3CDTF">2020-02-11T06:17:00Z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